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4BE" w:rsidRDefault="00F554BE"/>
    <w:tbl>
      <w:tblPr>
        <w:tblStyle w:val="TableGrid"/>
        <w:tblW w:w="0" w:type="auto"/>
        <w:tblLook w:val="04A0"/>
      </w:tblPr>
      <w:tblGrid>
        <w:gridCol w:w="2065"/>
        <w:gridCol w:w="2112"/>
      </w:tblGrid>
      <w:tr w:rsidR="00F554BE" w:rsidTr="00F554BE">
        <w:tc>
          <w:tcPr>
            <w:tcW w:w="0" w:type="auto"/>
          </w:tcPr>
          <w:p w:rsidR="00F554BE" w:rsidRPr="00785CBC" w:rsidRDefault="00F554BE" w:rsidP="00F554BE">
            <w:pPr>
              <w:rPr>
                <w:sz w:val="36"/>
                <w:szCs w:val="36"/>
              </w:rPr>
            </w:pPr>
            <w:r w:rsidRPr="00785CBC">
              <w:rPr>
                <w:sz w:val="36"/>
                <w:szCs w:val="36"/>
              </w:rPr>
              <w:t>Nation</w:t>
            </w:r>
          </w:p>
        </w:tc>
        <w:tc>
          <w:tcPr>
            <w:tcW w:w="0" w:type="auto"/>
          </w:tcPr>
          <w:p w:rsidR="00F554BE" w:rsidRPr="00785CBC" w:rsidRDefault="00F554BE" w:rsidP="00F554BE">
            <w:pPr>
              <w:rPr>
                <w:sz w:val="36"/>
                <w:szCs w:val="36"/>
              </w:rPr>
            </w:pPr>
            <w:r w:rsidRPr="00785CBC">
              <w:rPr>
                <w:sz w:val="36"/>
                <w:szCs w:val="36"/>
              </w:rPr>
              <w:t>Literacy Rate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Equatorial</w:t>
            </w:r>
          </w:p>
          <w:p w:rsidR="00F554BE" w:rsidRDefault="00F554BE" w:rsidP="00F554BE">
            <w:r>
              <w:t>Guinea</w:t>
            </w:r>
          </w:p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93.9%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Mauritius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88.5%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South Africa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86.4%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Botswana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84.5%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Gabon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88.4%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Namibia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88.8%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Cape Verde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84.3%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Swaziland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81.6%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Angola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70.1%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Ghana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71.5%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Sudan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61.1%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Zimbabwe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rPr>
                <w:rStyle w:val="categorydata"/>
              </w:rPr>
              <w:t>90.7%</w:t>
            </w:r>
          </w:p>
        </w:tc>
      </w:tr>
      <w:tr w:rsidR="00F554BE" w:rsidTr="00F554BE">
        <w:trPr>
          <w:trHeight w:val="152"/>
        </w:trPr>
        <w:tc>
          <w:tcPr>
            <w:tcW w:w="0" w:type="auto"/>
          </w:tcPr>
          <w:p w:rsidR="00F554BE" w:rsidRDefault="00F554BE" w:rsidP="00F554BE">
            <w:r>
              <w:t>Mauritania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rPr>
                <w:rStyle w:val="categorydata"/>
              </w:rPr>
              <w:t>58%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Cameroon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rPr>
                <w:rStyle w:val="categorydata"/>
              </w:rPr>
              <w:t>75.9%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Lesotho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rPr>
                <w:rStyle w:val="categorydata"/>
              </w:rPr>
              <w:t>89.6%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The Gambia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t>50%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Guinea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t>41%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Djibouti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rPr>
                <w:rStyle w:val="categorydata"/>
              </w:rPr>
              <w:t>67.9%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Senegal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rPr>
                <w:rStyle w:val="categorydata"/>
              </w:rPr>
              <w:t>39.3%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Uganda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rPr>
                <w:rStyle w:val="categorydata"/>
              </w:rPr>
              <w:t>66.8%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Chad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rPr>
                <w:rStyle w:val="categorydata"/>
              </w:rPr>
              <w:t>34.5%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Comoros</w:t>
            </w:r>
          </w:p>
        </w:tc>
        <w:tc>
          <w:tcPr>
            <w:tcW w:w="0" w:type="auto"/>
          </w:tcPr>
          <w:p w:rsidR="00F554BE" w:rsidRDefault="00F9346F" w:rsidP="00F9346F">
            <w:pPr>
              <w:rPr>
                <w:rStyle w:val="categorydata"/>
              </w:rPr>
            </w:pPr>
            <w:r>
              <w:rPr>
                <w:rStyle w:val="categorydata"/>
              </w:rPr>
              <w:t>74.9%</w:t>
            </w:r>
          </w:p>
          <w:p w:rsidR="00785CBC" w:rsidRDefault="00785CBC" w:rsidP="00F9346F"/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lastRenderedPageBreak/>
              <w:t xml:space="preserve">Sao Tome </w:t>
            </w:r>
          </w:p>
          <w:p w:rsidR="00F554BE" w:rsidRDefault="00F554BE" w:rsidP="00F554BE">
            <w:r>
              <w:t>and Principe</w:t>
            </w:r>
          </w:p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84.9%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Togo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60.9%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Cote d’Ivoire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56.2%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Rwanda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71.1%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Mozambique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56.1%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Burkina Faso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21.8%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Nigeria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61.3%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 xml:space="preserve">Central African </w:t>
            </w:r>
          </w:p>
          <w:p w:rsidR="00F554BE" w:rsidRDefault="00F554BE" w:rsidP="00F554BE">
            <w:r>
              <w:t>Republic</w:t>
            </w:r>
          </w:p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56%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Benin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554BE" w:rsidP="00F554BE">
            <w:r>
              <w:t>42.4%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Kenya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87.4%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Mali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554BE">
            <w:r>
              <w:rPr>
                <w:rStyle w:val="categorydata"/>
              </w:rPr>
              <w:t>27.7%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Eritrea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67.8%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Zambia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F9346F" w:rsidP="00F9346F">
            <w:r>
              <w:rPr>
                <w:rStyle w:val="categorydata"/>
              </w:rPr>
              <w:t>80.6%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Madagascar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134073" w:rsidP="00F9346F">
            <w:r>
              <w:rPr>
                <w:rStyle w:val="categorydata"/>
              </w:rPr>
              <w:t>64.5%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Sierra Leone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134073" w:rsidP="00F9346F">
            <w:r>
              <w:rPr>
                <w:rStyle w:val="categorydata"/>
              </w:rPr>
              <w:t>35.1%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Liberia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134073" w:rsidP="00F9346F">
            <w:r>
              <w:rPr>
                <w:rStyle w:val="categorydata"/>
              </w:rPr>
              <w:t>60.8%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Ethiopia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134073" w:rsidP="00F9346F">
            <w:r>
              <w:rPr>
                <w:rStyle w:val="categorydata"/>
              </w:rPr>
              <w:t>42.7%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Guinea-Bissau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134073" w:rsidP="00F9346F">
            <w:r>
              <w:rPr>
                <w:rStyle w:val="categorydata"/>
              </w:rPr>
              <w:t>54.2%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Burundi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134073" w:rsidP="00F9346F">
            <w:r>
              <w:rPr>
                <w:rStyle w:val="categorydata"/>
              </w:rPr>
              <w:t>67.2%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Tanzania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134073" w:rsidP="00F9346F">
            <w:r>
              <w:rPr>
                <w:rStyle w:val="categorydata"/>
              </w:rPr>
              <w:t>69.4%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Democratic Republic</w:t>
            </w:r>
          </w:p>
          <w:p w:rsidR="00F554BE" w:rsidRDefault="00F554BE" w:rsidP="00F554BE">
            <w:r>
              <w:t>Of the Congo</w:t>
            </w:r>
          </w:p>
        </w:tc>
        <w:tc>
          <w:tcPr>
            <w:tcW w:w="0" w:type="auto"/>
          </w:tcPr>
          <w:p w:rsidR="00F554BE" w:rsidRDefault="00134073" w:rsidP="00F554BE">
            <w:r>
              <w:rPr>
                <w:rStyle w:val="categorydata"/>
              </w:rPr>
              <w:t>66.8%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Somalia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134073" w:rsidP="00F554BE">
            <w:r>
              <w:rPr>
                <w:rStyle w:val="categorydata"/>
              </w:rPr>
              <w:t>37.8%</w:t>
            </w:r>
          </w:p>
        </w:tc>
      </w:tr>
      <w:tr w:rsidR="00F554BE" w:rsidTr="00F554BE">
        <w:tc>
          <w:tcPr>
            <w:tcW w:w="0" w:type="auto"/>
          </w:tcPr>
          <w:p w:rsidR="00F554BE" w:rsidRDefault="00F554BE" w:rsidP="00F554BE">
            <w:r>
              <w:t>Malawi</w:t>
            </w:r>
          </w:p>
          <w:p w:rsidR="00F554BE" w:rsidRDefault="00F554BE" w:rsidP="00F554BE"/>
        </w:tc>
        <w:tc>
          <w:tcPr>
            <w:tcW w:w="0" w:type="auto"/>
          </w:tcPr>
          <w:p w:rsidR="00F554BE" w:rsidRDefault="00134073" w:rsidP="00F554BE">
            <w:r>
              <w:rPr>
                <w:rStyle w:val="categorydata"/>
              </w:rPr>
              <w:t>74.8%</w:t>
            </w:r>
          </w:p>
        </w:tc>
      </w:tr>
    </w:tbl>
    <w:p w:rsidR="00F554BE" w:rsidRDefault="00F554BE"/>
    <w:sectPr w:rsidR="00F554BE" w:rsidSect="00785CBC">
      <w:headerReference w:type="default" r:id="rId6"/>
      <w:pgSz w:w="12240" w:h="15840"/>
      <w:pgMar w:top="1440" w:right="1440" w:bottom="1152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70C" w:rsidRDefault="00C2770C" w:rsidP="00F9346F">
      <w:pPr>
        <w:spacing w:after="0" w:line="240" w:lineRule="auto"/>
      </w:pPr>
      <w:r>
        <w:separator/>
      </w:r>
    </w:p>
  </w:endnote>
  <w:endnote w:type="continuationSeparator" w:id="0">
    <w:p w:rsidR="00C2770C" w:rsidRDefault="00C2770C" w:rsidP="00F93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70C" w:rsidRDefault="00C2770C" w:rsidP="00F9346F">
      <w:pPr>
        <w:spacing w:after="0" w:line="240" w:lineRule="auto"/>
      </w:pPr>
      <w:r>
        <w:separator/>
      </w:r>
    </w:p>
  </w:footnote>
  <w:footnote w:type="continuationSeparator" w:id="0">
    <w:p w:rsidR="00C2770C" w:rsidRDefault="00C2770C" w:rsidP="00F93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46F" w:rsidRPr="00F9346F" w:rsidRDefault="00F9346F">
    <w:pPr>
      <w:pStyle w:val="Header"/>
      <w:rPr>
        <w:sz w:val="32"/>
        <w:szCs w:val="32"/>
      </w:rPr>
    </w:pPr>
    <w:r w:rsidRPr="00F9346F">
      <w:rPr>
        <w:sz w:val="32"/>
        <w:szCs w:val="32"/>
      </w:rPr>
      <w:t>Literacy Rate in Sub-Saharan Africa</w:t>
    </w:r>
    <w:r>
      <w:rPr>
        <w:sz w:val="32"/>
        <w:szCs w:val="32"/>
      </w:rPr>
      <w:t xml:space="preserve"> – CIA World </w:t>
    </w:r>
    <w:proofErr w:type="spellStart"/>
    <w:r>
      <w:rPr>
        <w:sz w:val="32"/>
        <w:szCs w:val="32"/>
      </w:rPr>
      <w:t>Factbook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4BE"/>
    <w:rsid w:val="00134073"/>
    <w:rsid w:val="00785CBC"/>
    <w:rsid w:val="009B20D3"/>
    <w:rsid w:val="00C2770C"/>
    <w:rsid w:val="00F554BE"/>
    <w:rsid w:val="00F9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554BE"/>
    <w:rPr>
      <w:color w:val="0000FF"/>
      <w:u w:val="single"/>
    </w:rPr>
  </w:style>
  <w:style w:type="table" w:styleId="TableGrid">
    <w:name w:val="Table Grid"/>
    <w:basedOn w:val="TableNormal"/>
    <w:uiPriority w:val="59"/>
    <w:rsid w:val="00F55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tegorydata">
    <w:name w:val="category_data"/>
    <w:basedOn w:val="DefaultParagraphFont"/>
    <w:rsid w:val="00F554BE"/>
  </w:style>
  <w:style w:type="paragraph" w:styleId="Header">
    <w:name w:val="header"/>
    <w:basedOn w:val="Normal"/>
    <w:link w:val="HeaderChar"/>
    <w:uiPriority w:val="99"/>
    <w:semiHidden/>
    <w:unhideWhenUsed/>
    <w:rsid w:val="00F93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346F"/>
  </w:style>
  <w:style w:type="paragraph" w:styleId="Footer">
    <w:name w:val="footer"/>
    <w:basedOn w:val="Normal"/>
    <w:link w:val="FooterChar"/>
    <w:uiPriority w:val="99"/>
    <w:semiHidden/>
    <w:unhideWhenUsed/>
    <w:rsid w:val="00F93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4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2013-03-21T01:39:00Z</dcterms:created>
  <dcterms:modified xsi:type="dcterms:W3CDTF">2013-03-21T02:07:00Z</dcterms:modified>
</cp:coreProperties>
</file>